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automoc</w:t>
      </w:r>
      <w:r>
        <w:rPr>
          <w:rStyle w:val="a0"/>
        </w:rPr>
        <w:t xml:space="preserve"> </w:t>
      </w:r>
      <w:r>
        <w:rPr>
          <w:rStyle w:val="a0"/>
          <w:rFonts w:ascii="Arial" w:hAnsi="Arial"/>
          <w:b w:val="0"/>
          <w:sz w:val="21"/>
        </w:rPr>
        <w:t>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2008-2009 Alexander Neundorf &lt;neundorf@kde.org&gt;</w:t>
      </w:r>
    </w:p>
    <w:p>
      <w:pPr>
        <w:spacing w:line="420" w:lineRule="exact"/>
      </w:pPr>
      <w:r>
        <w:rPr>
          <w:rStyle w:val="a0"/>
          <w:rFonts w:ascii="Arial" w:hAnsi="Arial"/>
          <w:sz w:val="20"/>
        </w:rPr>
        <w:t>Copyright (C) 2007 Matthias Kretz &lt;kretz@kde.org&gt;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